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500" w14:textId="0A9EAB54" w:rsidR="002A4C0E" w:rsidRDefault="006141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JPT ATLANTIC   1/2 TRUCK AND FULL TRUCK LOAD ORDERS</w:t>
      </w:r>
    </w:p>
    <w:p w14:paraId="04EEC18B" w14:textId="3EFD0B76" w:rsidR="00614163" w:rsidRPr="00281CD6" w:rsidRDefault="00614163">
      <w:pPr>
        <w:rPr>
          <w:b/>
          <w:bCs/>
        </w:rPr>
      </w:pPr>
    </w:p>
    <w:p w14:paraId="6FF6B601" w14:textId="29EA9DC6" w:rsidR="00614163" w:rsidRPr="00281CD6" w:rsidRDefault="00614163">
      <w:r w:rsidRPr="00281CD6">
        <w:t xml:space="preserve">For those Christmas tree customers wishing to buy larger quantities and larger trees than our pallet program allows, we are offering ½ truck orders up to 300 trees, or full load truck up to 700 trees. This allows our larger volume customers to get taller trees and a choice between the #1 grade trees </w:t>
      </w:r>
      <w:r w:rsidR="00702150">
        <w:t>(</w:t>
      </w:r>
      <w:r w:rsidRPr="00281CD6">
        <w:t>in the pallet program</w:t>
      </w:r>
      <w:r w:rsidR="00702150">
        <w:t>)</w:t>
      </w:r>
      <w:r w:rsidRPr="00281CD6">
        <w:t xml:space="preserve">, and our top tier premium grade trees. </w:t>
      </w:r>
    </w:p>
    <w:p w14:paraId="4E9AB759" w14:textId="55F6773B" w:rsidR="00614163" w:rsidRPr="00281CD6" w:rsidRDefault="00614163">
      <w:pPr>
        <w:rPr>
          <w:b/>
          <w:bCs/>
          <w:sz w:val="32"/>
          <w:szCs w:val="32"/>
        </w:rPr>
      </w:pPr>
      <w:r w:rsidRPr="00281CD6">
        <w:rPr>
          <w:b/>
          <w:bCs/>
          <w:sz w:val="32"/>
          <w:szCs w:val="32"/>
        </w:rPr>
        <w:t xml:space="preserve">Available in both grades are: </w:t>
      </w:r>
    </w:p>
    <w:p w14:paraId="30E277B1" w14:textId="0C9C4AC0" w:rsidR="00D24E8C" w:rsidRDefault="00614163">
      <w:pPr>
        <w:rPr>
          <w:sz w:val="32"/>
          <w:szCs w:val="32"/>
        </w:rPr>
      </w:pPr>
      <w:r>
        <w:rPr>
          <w:sz w:val="32"/>
          <w:szCs w:val="32"/>
        </w:rPr>
        <w:t>3-4</w:t>
      </w:r>
      <w:proofErr w:type="gramStart"/>
      <w:r>
        <w:rPr>
          <w:sz w:val="32"/>
          <w:szCs w:val="32"/>
        </w:rPr>
        <w:t>’  (table tops</w:t>
      </w:r>
      <w:proofErr w:type="gramEnd"/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24E8C">
        <w:rPr>
          <w:sz w:val="32"/>
          <w:szCs w:val="32"/>
        </w:rPr>
        <w:t>8-9’</w:t>
      </w:r>
    </w:p>
    <w:p w14:paraId="61367EB2" w14:textId="39AFA9E2" w:rsidR="00614163" w:rsidRDefault="00614163">
      <w:pPr>
        <w:rPr>
          <w:sz w:val="32"/>
          <w:szCs w:val="32"/>
        </w:rPr>
      </w:pPr>
      <w:r>
        <w:rPr>
          <w:sz w:val="32"/>
          <w:szCs w:val="32"/>
        </w:rPr>
        <w:t>4-5’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9-10’</w:t>
      </w:r>
      <w:r>
        <w:rPr>
          <w:sz w:val="32"/>
          <w:szCs w:val="32"/>
        </w:rPr>
        <w:tab/>
      </w:r>
    </w:p>
    <w:p w14:paraId="5FAA279E" w14:textId="56A88A96" w:rsidR="00614163" w:rsidRDefault="00614163">
      <w:pPr>
        <w:rPr>
          <w:sz w:val="32"/>
          <w:szCs w:val="32"/>
        </w:rPr>
      </w:pPr>
      <w:r>
        <w:rPr>
          <w:sz w:val="32"/>
          <w:szCs w:val="32"/>
        </w:rPr>
        <w:t>5-6’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10-11’</w:t>
      </w:r>
      <w:r w:rsidR="00D24E8C">
        <w:rPr>
          <w:sz w:val="20"/>
          <w:szCs w:val="20"/>
        </w:rPr>
        <w:t>limited quantit</w:t>
      </w:r>
      <w:r w:rsidR="001863F8">
        <w:rPr>
          <w:sz w:val="20"/>
          <w:szCs w:val="20"/>
        </w:rPr>
        <w:t>i</w:t>
      </w:r>
      <w:r w:rsidR="00D24E8C">
        <w:rPr>
          <w:sz w:val="20"/>
          <w:szCs w:val="20"/>
        </w:rPr>
        <w:t>es</w:t>
      </w:r>
      <w:r>
        <w:rPr>
          <w:sz w:val="32"/>
          <w:szCs w:val="32"/>
        </w:rPr>
        <w:tab/>
      </w:r>
    </w:p>
    <w:p w14:paraId="47FC8D90" w14:textId="7E1A7DE2" w:rsidR="00614163" w:rsidRPr="00D24E8C" w:rsidRDefault="00614163">
      <w:pPr>
        <w:rPr>
          <w:sz w:val="20"/>
          <w:szCs w:val="20"/>
        </w:rPr>
      </w:pPr>
      <w:r>
        <w:rPr>
          <w:sz w:val="32"/>
          <w:szCs w:val="32"/>
        </w:rPr>
        <w:t>6-7’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11-12’</w:t>
      </w:r>
      <w:r w:rsidR="00D24E8C">
        <w:rPr>
          <w:sz w:val="20"/>
          <w:szCs w:val="20"/>
        </w:rPr>
        <w:t>limited quantities</w:t>
      </w:r>
    </w:p>
    <w:p w14:paraId="4D434530" w14:textId="38E7D232" w:rsidR="00614163" w:rsidRPr="00D24E8C" w:rsidRDefault="00614163">
      <w:pPr>
        <w:rPr>
          <w:sz w:val="20"/>
          <w:szCs w:val="20"/>
        </w:rPr>
      </w:pPr>
      <w:r>
        <w:rPr>
          <w:sz w:val="32"/>
          <w:szCs w:val="32"/>
        </w:rPr>
        <w:t>7-8’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12-13’</w:t>
      </w:r>
      <w:proofErr w:type="gramStart"/>
      <w:r w:rsidR="00D24E8C">
        <w:rPr>
          <w:sz w:val="20"/>
          <w:szCs w:val="20"/>
        </w:rPr>
        <w:t>limited  quantities</w:t>
      </w:r>
      <w:proofErr w:type="gramEnd"/>
    </w:p>
    <w:p w14:paraId="23295294" w14:textId="6DDA8D6B" w:rsidR="00D24E8C" w:rsidRDefault="00D24E8C">
      <w:pPr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13-14’</w:t>
      </w:r>
      <w:r>
        <w:rPr>
          <w:sz w:val="20"/>
          <w:szCs w:val="20"/>
        </w:rPr>
        <w:t>limited quantities</w:t>
      </w:r>
    </w:p>
    <w:p w14:paraId="493B13E0" w14:textId="13208347" w:rsidR="00281CD6" w:rsidRPr="00D24E8C" w:rsidRDefault="00D24E8C">
      <w:r>
        <w:t xml:space="preserve">This option also opens the wreath selection as </w:t>
      </w:r>
      <w:proofErr w:type="gramStart"/>
      <w:r>
        <w:t>well,  12</w:t>
      </w:r>
      <w:proofErr w:type="gramEnd"/>
      <w:r>
        <w:t>”, 14”, 16”, 20”</w:t>
      </w:r>
      <w:r w:rsidR="00281CD6">
        <w:t>, 24”, 30”,36</w:t>
      </w:r>
      <w:proofErr w:type="gramStart"/>
      <w:r w:rsidR="00281CD6">
        <w:t>”,and</w:t>
      </w:r>
      <w:proofErr w:type="gramEnd"/>
      <w:r w:rsidR="00281CD6">
        <w:t xml:space="preserve"> 48” ring sizes. Outside diameter</w:t>
      </w:r>
      <w:r w:rsidR="00C10638">
        <w:t>s</w:t>
      </w:r>
      <w:r w:rsidR="00281CD6">
        <w:t xml:space="preserve"> of </w:t>
      </w:r>
      <w:proofErr w:type="gramStart"/>
      <w:r w:rsidR="00281CD6">
        <w:t>double sided</w:t>
      </w:r>
      <w:proofErr w:type="gramEnd"/>
      <w:r w:rsidR="00281CD6">
        <w:t xml:space="preserve"> wreaths </w:t>
      </w:r>
      <w:r w:rsidR="00C10638">
        <w:t>are</w:t>
      </w:r>
      <w:r w:rsidR="00281CD6">
        <w:t xml:space="preserve"> much larger than ring size. Eg, a 16’ ring size is approximately 30” finished size.</w:t>
      </w:r>
    </w:p>
    <w:p w14:paraId="116F9B4C" w14:textId="45656278" w:rsidR="00281CD6" w:rsidRDefault="00D24E8C">
      <w:r w:rsidRPr="00281CD6">
        <w:t>Transportation costs are determined by load size and distance</w:t>
      </w:r>
      <w:r>
        <w:rPr>
          <w:sz w:val="32"/>
          <w:szCs w:val="32"/>
        </w:rPr>
        <w:t xml:space="preserve">. </w:t>
      </w:r>
      <w:r w:rsidRPr="00281CD6">
        <w:t xml:space="preserve">For more </w:t>
      </w:r>
      <w:proofErr w:type="gramStart"/>
      <w:r w:rsidRPr="00281CD6">
        <w:t>information</w:t>
      </w:r>
      <w:proofErr w:type="gramEnd"/>
      <w:r w:rsidRPr="00281CD6">
        <w:t xml:space="preserve"> please reach out to  </w:t>
      </w:r>
      <w:hyperlink r:id="rId4" w:history="1">
        <w:r w:rsidR="00281CD6" w:rsidRPr="00A53FA8">
          <w:rPr>
            <w:rStyle w:val="Hyperlink"/>
          </w:rPr>
          <w:t>info@jptatlantic.ca</w:t>
        </w:r>
      </w:hyperlink>
    </w:p>
    <w:p w14:paraId="7BE8B23E" w14:textId="592A5B56" w:rsidR="00281CD6" w:rsidRDefault="00281CD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FOR PREORDERS</w:t>
      </w:r>
    </w:p>
    <w:p w14:paraId="01AF86F7" w14:textId="356B3D48" w:rsidR="00281CD6" w:rsidRDefault="00281CD6">
      <w:r>
        <w:t>Please circle the size</w:t>
      </w:r>
      <w:r w:rsidR="00402A77">
        <w:t>/s</w:t>
      </w:r>
      <w:r>
        <w:t xml:space="preserve"> you are interested in and </w:t>
      </w:r>
      <w:r w:rsidR="00C10638">
        <w:t xml:space="preserve">write in </w:t>
      </w:r>
      <w:r>
        <w:t>an estimate of how many trees you</w:t>
      </w:r>
      <w:r w:rsidR="00112CE2">
        <w:t xml:space="preserve"> </w:t>
      </w:r>
      <w:r w:rsidR="00C10638">
        <w:t xml:space="preserve"> </w:t>
      </w:r>
      <w:r>
        <w:t xml:space="preserve"> </w:t>
      </w:r>
      <w:r w:rsidR="00C10638">
        <w:t xml:space="preserve">might </w:t>
      </w:r>
      <w:r>
        <w:t xml:space="preserve">wish to </w:t>
      </w:r>
      <w:proofErr w:type="gramStart"/>
      <w:r>
        <w:t>receive</w:t>
      </w:r>
      <w:proofErr w:type="gramEnd"/>
      <w:r>
        <w:t>. No extra cost to transport wreaths</w:t>
      </w:r>
      <w:r w:rsidR="00C10638">
        <w:t xml:space="preserve"> with tree order. </w:t>
      </w:r>
      <w:r>
        <w:t xml:space="preserve"> </w:t>
      </w:r>
    </w:p>
    <w:p w14:paraId="05FBD584" w14:textId="48B4C504" w:rsidR="00C10638" w:rsidRDefault="00C10638">
      <w:r>
        <w:t>Store Name_____________________________________</w:t>
      </w:r>
    </w:p>
    <w:p w14:paraId="3798291C" w14:textId="1542A74A" w:rsidR="00C10638" w:rsidRDefault="00C10638">
      <w:r>
        <w:t>Orgill Number___________________________________</w:t>
      </w:r>
    </w:p>
    <w:p w14:paraId="35AE2883" w14:textId="36BC0336" w:rsidR="00C10638" w:rsidRDefault="00C10638">
      <w:r>
        <w:t xml:space="preserve">Store Product </w:t>
      </w:r>
      <w:proofErr w:type="gramStart"/>
      <w:r>
        <w:t>Manager  _</w:t>
      </w:r>
      <w:proofErr w:type="gramEnd"/>
      <w:r>
        <w:t>_________________________</w:t>
      </w:r>
    </w:p>
    <w:p w14:paraId="1374B53F" w14:textId="0F0A248D" w:rsidR="00C10638" w:rsidRDefault="00C10638">
      <w:r>
        <w:t xml:space="preserve">                                       Email _________________________</w:t>
      </w:r>
    </w:p>
    <w:p w14:paraId="26708A4D" w14:textId="5C43632B" w:rsidR="00C10638" w:rsidRDefault="00C10638">
      <w:r>
        <w:t xml:space="preserve">                                       Phone_________________________</w:t>
      </w:r>
    </w:p>
    <w:sectPr w:rsidR="00C10638" w:rsidSect="005E4A33"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63"/>
    <w:rsid w:val="00112CE2"/>
    <w:rsid w:val="001863F8"/>
    <w:rsid w:val="001D13CC"/>
    <w:rsid w:val="002618DC"/>
    <w:rsid w:val="00281CD6"/>
    <w:rsid w:val="002A4C0E"/>
    <w:rsid w:val="003C561D"/>
    <w:rsid w:val="003F4FCD"/>
    <w:rsid w:val="00402A77"/>
    <w:rsid w:val="0046606F"/>
    <w:rsid w:val="005C623C"/>
    <w:rsid w:val="005E4A33"/>
    <w:rsid w:val="00614163"/>
    <w:rsid w:val="00702150"/>
    <w:rsid w:val="007F7C46"/>
    <w:rsid w:val="0087443D"/>
    <w:rsid w:val="00A76001"/>
    <w:rsid w:val="00AB3E02"/>
    <w:rsid w:val="00B11388"/>
    <w:rsid w:val="00B355F4"/>
    <w:rsid w:val="00BA14F3"/>
    <w:rsid w:val="00C10638"/>
    <w:rsid w:val="00C35214"/>
    <w:rsid w:val="00C36876"/>
    <w:rsid w:val="00D2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C906"/>
  <w15:chartTrackingRefBased/>
  <w15:docId w15:val="{7DF36F50-7707-4314-B91F-A1EBCA3F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163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163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163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163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163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163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163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163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163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163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163"/>
    <w:rPr>
      <w:b/>
      <w:bCs/>
      <w:smallCaps/>
      <w:color w:val="72992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1CD6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ptatlantic.ca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Haylock</dc:creator>
  <cp:keywords/>
  <dc:description/>
  <cp:lastModifiedBy>Cathy Haylock</cp:lastModifiedBy>
  <cp:revision>12</cp:revision>
  <dcterms:created xsi:type="dcterms:W3CDTF">2026-01-22T18:35:00Z</dcterms:created>
  <dcterms:modified xsi:type="dcterms:W3CDTF">2026-01-26T19:06:00Z</dcterms:modified>
</cp:coreProperties>
</file>